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</w:p>
    <w:tbl>
      <w:tblPr>
        <w:tblpPr w:leftFromText="180" w:rightFromText="180" w:vertAnchor="text" w:tblpY="1"/>
        <w:tblOverlap w:val="never"/>
        <w:tblW w:w="8748" w:type="dxa"/>
        <w:tblLayout w:type="fixed"/>
        <w:tblLook w:val="0000" w:firstRow="0" w:lastRow="0" w:firstColumn="0" w:lastColumn="0" w:noHBand="0" w:noVBand="0"/>
      </w:tblPr>
      <w:tblGrid>
        <w:gridCol w:w="8748"/>
      </w:tblGrid>
      <w:tr w:rsidR="001C5460" w:rsidRPr="00610100" w:rsidTr="002C3954">
        <w:trPr>
          <w:trHeight w:val="1258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</w:tcPr>
          <w:p w:rsidR="001C5460" w:rsidRPr="00610100" w:rsidRDefault="001C5460" w:rsidP="002C3954">
            <w:pPr>
              <w:spacing w:after="0" w:line="240" w:lineRule="auto"/>
              <w:ind w:right="-91"/>
              <w:rPr>
                <w:rFonts w:ascii="Times New Roman" w:eastAsiaTheme="minorEastAsia" w:hAnsi="Times New Roman" w:cs="Times New Roman"/>
                <w:spacing w:val="8"/>
                <w:sz w:val="20"/>
                <w:szCs w:val="20"/>
                <w:lang w:eastAsia="el-GR"/>
              </w:rPr>
            </w:pPr>
            <w:r w:rsidRPr="00610100">
              <w:rPr>
                <w:rFonts w:ascii="Times New Roman" w:eastAsiaTheme="minorEastAsia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inline distT="0" distB="0" distL="0" distR="0" wp14:anchorId="39A163E5" wp14:editId="7F821E0E">
                  <wp:extent cx="3030855" cy="90106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85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460" w:rsidRPr="00610100" w:rsidRDefault="001C5460" w:rsidP="002C3954">
            <w:pPr>
              <w:keepNext/>
              <w:spacing w:after="0" w:line="240" w:lineRule="auto"/>
              <w:ind w:right="-91"/>
              <w:outlineLvl w:val="1"/>
              <w:rPr>
                <w:rFonts w:ascii="Katsoulidis" w:eastAsiaTheme="minorEastAsia" w:hAnsi="Katsoulidis" w:cs="Katsoulidis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</w:tc>
      </w:tr>
      <w:tr w:rsidR="001C5460" w:rsidRPr="00A84191" w:rsidTr="002C3954"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</w:tcPr>
          <w:p w:rsidR="001C5460" w:rsidRPr="00610100" w:rsidRDefault="001C5460" w:rsidP="002C3954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</w:pPr>
            <w:r w:rsidRPr="00610100">
              <w:rPr>
                <w:rFonts w:ascii="Katsoulidis" w:eastAsiaTheme="minorEastAsia" w:hAnsi="Katsoulidis" w:cs="Katsoulidis"/>
                <w:b/>
                <w:bCs/>
                <w:w w:val="96"/>
                <w:sz w:val="20"/>
                <w:szCs w:val="20"/>
                <w:lang w:eastAsia="el-GR"/>
              </w:rPr>
              <w:t>ΣΧΟΛΗ ΘΕΤΙΚΩΝ ΕΠΙΣΤΗΜΩΝ</w:t>
            </w:r>
          </w:p>
          <w:p w:rsidR="001C5460" w:rsidRPr="00610100" w:rsidRDefault="001C5460" w:rsidP="002C3954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</w:pPr>
            <w:r w:rsidRPr="00610100"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  <w:t>ΤΜΗΜΑ ΧΗΜΕΙΑΣ</w:t>
            </w:r>
          </w:p>
          <w:p w:rsidR="001C5460" w:rsidRPr="00610100" w:rsidRDefault="001C5460" w:rsidP="002C3954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</w:pPr>
            <w:r w:rsidRPr="00610100"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  <w:t>ΓΡΑΜΜΑΤΕΙΑ</w:t>
            </w:r>
          </w:p>
          <w:p w:rsidR="001C5460" w:rsidRPr="00610100" w:rsidRDefault="001C5460" w:rsidP="002C3954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w w:val="96"/>
                <w:sz w:val="18"/>
                <w:szCs w:val="18"/>
                <w:lang w:eastAsia="el-GR"/>
              </w:rPr>
            </w:pPr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eastAsia="el-GR"/>
              </w:rPr>
              <w:t xml:space="preserve">Πληροφορίες: Σ. Οικονόμου / Ε. </w:t>
            </w:r>
            <w:proofErr w:type="spellStart"/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eastAsia="el-GR"/>
              </w:rPr>
              <w:t>Σπεντζάρη</w:t>
            </w:r>
            <w:proofErr w:type="spellEnd"/>
          </w:p>
          <w:p w:rsidR="001C5460" w:rsidRPr="00610100" w:rsidRDefault="001C5460" w:rsidP="002C3954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</w:pPr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eastAsia="el-GR"/>
              </w:rPr>
              <w:t>Τηλέφωνο</w:t>
            </w:r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  <w:t>: 210 727 4386/210 727 4098</w:t>
            </w:r>
          </w:p>
          <w:p w:rsidR="001C5460" w:rsidRPr="00610100" w:rsidRDefault="001C5460" w:rsidP="002C3954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sz w:val="20"/>
                <w:szCs w:val="20"/>
                <w:lang w:val="de-DE" w:eastAsia="el-GR"/>
              </w:rPr>
            </w:pPr>
            <w:proofErr w:type="spellStart"/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  <w:t>e-mail</w:t>
            </w:r>
            <w:proofErr w:type="spellEnd"/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  <w:t>: secr@chem.uoa.gr</w:t>
            </w:r>
          </w:p>
        </w:tc>
      </w:tr>
    </w:tbl>
    <w:p w:rsidR="001C5460" w:rsidRPr="00610100" w:rsidRDefault="001C5460" w:rsidP="001C5460">
      <w:pPr>
        <w:spacing w:before="120" w:after="0" w:line="240" w:lineRule="auto"/>
        <w:ind w:firstLine="567"/>
        <w:jc w:val="center"/>
        <w:rPr>
          <w:rFonts w:ascii="Katsoulidis" w:eastAsiaTheme="minorEastAsia" w:hAnsi="Katsoulidis" w:cs="Katsoulidis"/>
          <w:color w:val="0070C0"/>
          <w:sz w:val="28"/>
          <w:szCs w:val="28"/>
          <w:lang w:val="de-DE" w:eastAsia="el-GR"/>
        </w:rPr>
      </w:pPr>
    </w:p>
    <w:p w:rsidR="001C5460" w:rsidRPr="00610100" w:rsidRDefault="001C5460" w:rsidP="001C5460">
      <w:pPr>
        <w:spacing w:before="120" w:after="0" w:line="240" w:lineRule="auto"/>
        <w:ind w:firstLine="567"/>
        <w:jc w:val="center"/>
        <w:rPr>
          <w:rFonts w:ascii="Katsoulidis" w:eastAsiaTheme="minorEastAsia" w:hAnsi="Katsoulidis" w:cs="Katsoulidis"/>
          <w:color w:val="0070C0"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color w:val="0070C0"/>
          <w:sz w:val="28"/>
          <w:szCs w:val="28"/>
          <w:lang w:eastAsia="el-GR"/>
        </w:rPr>
        <w:t xml:space="preserve">ΠΜΣ </w:t>
      </w:r>
      <w:r w:rsidRPr="00610100">
        <w:rPr>
          <w:rFonts w:ascii="Katsoulidis" w:eastAsiaTheme="minorEastAsia" w:hAnsi="Katsoulidis" w:cs="Katsoulidis"/>
          <w:b/>
          <w:bCs/>
          <w:color w:val="0070C0"/>
          <w:sz w:val="28"/>
          <w:szCs w:val="28"/>
          <w:lang w:eastAsia="el-GR"/>
        </w:rPr>
        <w:t>“ΧΗΜΕΙΑ ΤΡΟΦΙΜΩΝ”</w:t>
      </w:r>
    </w:p>
    <w:p w:rsidR="001C5460" w:rsidRPr="00610100" w:rsidRDefault="001C5460" w:rsidP="001C5460">
      <w:pPr>
        <w:autoSpaceDE w:val="0"/>
        <w:autoSpaceDN w:val="0"/>
        <w:adjustRightInd w:val="0"/>
        <w:spacing w:after="0" w:line="240" w:lineRule="auto"/>
        <w:rPr>
          <w:rFonts w:ascii="Katsoulidis" w:eastAsiaTheme="minorEastAsia" w:hAnsi="Katsoulidis" w:cs="Katsoulidis"/>
          <w:color w:val="000000"/>
          <w:sz w:val="28"/>
          <w:szCs w:val="28"/>
          <w:lang w:eastAsia="el-GR"/>
        </w:rPr>
      </w:pPr>
    </w:p>
    <w:p w:rsidR="001C5460" w:rsidRPr="00610100" w:rsidRDefault="001C5460" w:rsidP="001C5460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eastAsiaTheme="minorEastAsia" w:hAnsi="Katsoulidis" w:cs="Katsoulidis"/>
          <w:color w:val="000000"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color w:val="000000"/>
          <w:sz w:val="28"/>
          <w:szCs w:val="28"/>
          <w:lang w:eastAsia="el-GR"/>
        </w:rPr>
        <w:t>ΠΡΟΣΚΛΗΣΗ ΥΠΟΒΟΛΗΣ ΑΙΤΗΣΕΩΝ</w:t>
      </w:r>
    </w:p>
    <w:p w:rsidR="001C5460" w:rsidRPr="00610100" w:rsidRDefault="001C5460" w:rsidP="001C5460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eastAsiaTheme="minorEastAsia" w:hAnsi="Katsoulidis" w:cs="Katsoulidis"/>
          <w:color w:val="000000"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color w:val="000000"/>
          <w:sz w:val="28"/>
          <w:szCs w:val="28"/>
          <w:lang w:eastAsia="el-GR"/>
        </w:rPr>
        <w:t>ΥΠΟΨΗΦΙΩΝ ΜΕΤΑΠΤΥΧΙΑΚΩΝ ΦΟΙΤΗΤΩΝ/ΤΡΙΩΝ</w:t>
      </w:r>
    </w:p>
    <w:p w:rsidR="001C5460" w:rsidRPr="00610100" w:rsidRDefault="000724FE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r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ΓΙΑ ΤΟ ΑΚΑΔΗΜΑΪΚΟ ΕΤΟΣ 202</w:t>
      </w:r>
      <w:r w:rsidR="009A767C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2</w:t>
      </w:r>
      <w:r w:rsidR="001C546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-202</w:t>
      </w:r>
      <w:r w:rsidR="009A767C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3</w:t>
      </w:r>
    </w:p>
    <w:p w:rsidR="001C5460" w:rsidRPr="00610100" w:rsidRDefault="001C5460" w:rsidP="001C5460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eastAsia="el-GR"/>
        </w:rPr>
      </w:pPr>
    </w:p>
    <w:p w:rsidR="001C5460" w:rsidRPr="00610100" w:rsidRDefault="001C5460" w:rsidP="001C5460">
      <w:pPr>
        <w:spacing w:after="0" w:line="240" w:lineRule="auto"/>
        <w:ind w:firstLine="567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Το Τμήμα Χημείας του Πανεπιστημίου Αθη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 xml:space="preserve">νών προκηρύσσει για 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>το ακαδημαϊκό έτος 20</w:t>
      </w:r>
      <w:r w:rsidR="000724FE">
        <w:rPr>
          <w:rFonts w:ascii="Katsoulidis" w:eastAsiaTheme="minorEastAsia" w:hAnsi="Katsoulidis" w:cs="Katsoulidis"/>
          <w:sz w:val="24"/>
          <w:szCs w:val="24"/>
          <w:lang w:eastAsia="el-GR"/>
        </w:rPr>
        <w:t>2</w:t>
      </w:r>
      <w:r w:rsidR="009A767C">
        <w:rPr>
          <w:rFonts w:ascii="Katsoulidis" w:eastAsiaTheme="minorEastAsia" w:hAnsi="Katsoulidis" w:cs="Katsoulidis"/>
          <w:sz w:val="24"/>
          <w:szCs w:val="24"/>
          <w:lang w:eastAsia="el-GR"/>
        </w:rPr>
        <w:t>2</w:t>
      </w:r>
      <w:r w:rsidR="000724FE">
        <w:rPr>
          <w:rFonts w:ascii="Katsoulidis" w:eastAsiaTheme="minorEastAsia" w:hAnsi="Katsoulidis" w:cs="Katsoulidis"/>
          <w:sz w:val="24"/>
          <w:szCs w:val="24"/>
          <w:lang w:eastAsia="el-GR"/>
        </w:rPr>
        <w:t>-202</w:t>
      </w:r>
      <w:r w:rsidR="009A767C">
        <w:rPr>
          <w:rFonts w:ascii="Katsoulidis" w:eastAsiaTheme="minorEastAsia" w:hAnsi="Katsoulidis" w:cs="Katsoulidis"/>
          <w:sz w:val="24"/>
          <w:szCs w:val="24"/>
          <w:lang w:eastAsia="el-GR"/>
        </w:rPr>
        <w:t>3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δεκαπέντε (15) θέσεις μεταπτυχιακών φοιτητών στα πλαίσια λειτουργίας του Προγράμματος Μεταπτυχιακών Σπουδών </w:t>
      </w: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“Χημεία Τροφίμων”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</w:p>
    <w:p w:rsidR="001C5460" w:rsidRPr="00610100" w:rsidRDefault="001C5460" w:rsidP="001C5460">
      <w:pPr>
        <w:spacing w:after="0" w:line="240" w:lineRule="auto"/>
        <w:ind w:firstLine="567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Σκοπός του ΠΜΣ είναι η παροχή υψηλού επιπέδου μεταπτυχιακής εκπαίδευσης στο επιστημονικό πεδίο της επιστήμης των τροφίμων και πιο συγκεκριμένα εκπαίδευση στη χημεία τροφίμων, έλεγχο ποιότητας και ασφάλεια τροφίμων, τεχνολογία τροφίμων και διατροφή. Το Π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Μ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Σ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οδηγεί στην απονομή Διπλώματος Μεταπτυχιακών Σπουδών μετά την πλήρη και επιτυχή ολοκλήρωση των σπουδών τεσσάρων </w:t>
      </w:r>
      <w:r w:rsidR="00290308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(4) 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ακαδημαϊκών εξαμήνων.</w:t>
      </w:r>
    </w:p>
    <w:p w:rsidR="001C5460" w:rsidRPr="00610100" w:rsidRDefault="001C5460" w:rsidP="001C5460">
      <w:pPr>
        <w:spacing w:after="0" w:line="240" w:lineRule="auto"/>
        <w:ind w:firstLine="567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1C5460" w:rsidRPr="00610100" w:rsidRDefault="001C5460" w:rsidP="001C5460">
      <w:pPr>
        <w:spacing w:after="0" w:line="240" w:lineRule="auto"/>
        <w:ind w:firstLine="567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Κατηγορίες Πτυχιούχων</w:t>
      </w:r>
    </w:p>
    <w:p w:rsidR="001C5460" w:rsidRPr="00610100" w:rsidRDefault="001C5460" w:rsidP="001C5460">
      <w:pPr>
        <w:spacing w:after="0" w:line="240" w:lineRule="auto"/>
        <w:ind w:firstLine="567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1C5460" w:rsidRPr="00610100" w:rsidRDefault="001C5460" w:rsidP="001C5460">
      <w:pPr>
        <w:spacing w:after="0" w:line="240" w:lineRule="auto"/>
        <w:ind w:firstLine="567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Στο Π.Μ.Σ. «</w:t>
      </w: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Χημεία Τροφίμων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» γίνονται δεκτοί κάτοχοι τίτλου του Α΄ κύκλου σπουδών των  Τμημάτων Χημείας Α.Ε.Ι. της ημεδαπής ή ομοτα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>γών, αναγνωρισμένων από το ΔΟΑΤΑΠ, ιδρυμάτων της αλλοδαπής καθώς και απόφοιτοι άλλων Τμημάτων Α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Ε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Ι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της ημεδαπής ή ομοτα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>γών, αναγνωρισμένων της αλλοδαπής.</w:t>
      </w:r>
    </w:p>
    <w:p w:rsidR="001C5460" w:rsidRPr="00610100" w:rsidRDefault="001C5460" w:rsidP="001C5460">
      <w:pPr>
        <w:spacing w:after="0" w:line="240" w:lineRule="auto"/>
        <w:ind w:left="360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1C5460" w:rsidRPr="00610100" w:rsidRDefault="001C5460" w:rsidP="001C5460">
      <w:pPr>
        <w:spacing w:after="0" w:line="240" w:lineRule="auto"/>
        <w:jc w:val="both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Γίνονται δεκτοί ως υπεράριθμοι υπότροφοι και μέλη των κατηγοριών ΕΕΠ, ΕΔΙΠ και ΕΤΕΠ.</w:t>
      </w:r>
    </w:p>
    <w:p w:rsidR="001C5460" w:rsidRPr="00610100" w:rsidRDefault="001C5460" w:rsidP="001C5460">
      <w:pPr>
        <w:spacing w:after="0" w:line="240" w:lineRule="auto"/>
        <w:ind w:left="567"/>
        <w:jc w:val="both"/>
        <w:rPr>
          <w:rFonts w:ascii="Katsoulidis" w:eastAsiaTheme="minorEastAsia" w:hAnsi="Katsoulidis" w:cs="Katsoulidis"/>
          <w:sz w:val="24"/>
          <w:szCs w:val="24"/>
          <w:u w:val="single"/>
          <w:lang w:eastAsia="el-GR"/>
        </w:rPr>
      </w:pP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 xml:space="preserve">Κριτήρια επιλογής </w:t>
      </w: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1C5460" w:rsidRPr="00610100" w:rsidRDefault="001C5460" w:rsidP="001C5460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Η επιλογή των μεταπτυχιακών φοιτητών γίνεται με συνεκτίμηση των εξής κριτηρίων:</w:t>
      </w:r>
    </w:p>
    <w:p w:rsidR="001C5460" w:rsidRPr="00610100" w:rsidRDefault="001C5460" w:rsidP="001C5460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1C5460" w:rsidRPr="00610100" w:rsidRDefault="001C5460" w:rsidP="001C5460">
      <w:pPr>
        <w:numPr>
          <w:ilvl w:val="0"/>
          <w:numId w:val="1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Το γενικό βαθμό του πτυχίου.</w:t>
      </w:r>
    </w:p>
    <w:p w:rsidR="001C5460" w:rsidRPr="00610100" w:rsidRDefault="001C5460" w:rsidP="001C5460">
      <w:pPr>
        <w:numPr>
          <w:ilvl w:val="0"/>
          <w:numId w:val="1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Το μέσο όρο βαθμολογίας σε τρία προπτυχιακά μαθήματα σχετικά με το γνωστικό αντικείμενο του  Π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Μ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Σ.</w:t>
      </w:r>
    </w:p>
    <w:p w:rsidR="001C5460" w:rsidRPr="00610100" w:rsidRDefault="001C5460" w:rsidP="001C5460">
      <w:pPr>
        <w:numPr>
          <w:ilvl w:val="0"/>
          <w:numId w:val="1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>
        <w:rPr>
          <w:rFonts w:ascii="Katsoulidis" w:eastAsiaTheme="minorEastAsia" w:hAnsi="Katsoulidis" w:cs="Katsoulidis"/>
          <w:sz w:val="24"/>
          <w:szCs w:val="24"/>
          <w:lang w:eastAsia="el-GR"/>
        </w:rPr>
        <w:t>Την επίδοση σε πτυχιακή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εργασία, όπου προβλέπεται σε προπτυχιακό επίπεδο.</w:t>
      </w:r>
    </w:p>
    <w:p w:rsidR="001C5460" w:rsidRPr="00610100" w:rsidRDefault="001C5460" w:rsidP="001C5460">
      <w:pPr>
        <w:numPr>
          <w:ilvl w:val="0"/>
          <w:numId w:val="1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Την πιστοποιημένη γνώση ξένης γλώσσας, κατά προτίμηση της αγγλικής.</w:t>
      </w:r>
    </w:p>
    <w:p w:rsidR="001C5460" w:rsidRPr="00610100" w:rsidRDefault="001C5460" w:rsidP="001C5460">
      <w:pPr>
        <w:numPr>
          <w:ilvl w:val="0"/>
          <w:numId w:val="1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Την τυχόν ερευνητική δραστηριότητα του υποψηφίου.</w:t>
      </w:r>
    </w:p>
    <w:p w:rsidR="001C5460" w:rsidRPr="00610100" w:rsidRDefault="001C5460" w:rsidP="001C5460">
      <w:pPr>
        <w:numPr>
          <w:ilvl w:val="0"/>
          <w:numId w:val="1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lastRenderedPageBreak/>
        <w:t>Τις τυχόν δημοσιεύσεις.</w:t>
      </w:r>
    </w:p>
    <w:p w:rsidR="001C5460" w:rsidRPr="00610100" w:rsidRDefault="001C5460" w:rsidP="001C5460">
      <w:pPr>
        <w:numPr>
          <w:ilvl w:val="0"/>
          <w:numId w:val="1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Τις συστατικές επιστολές. </w:t>
      </w:r>
    </w:p>
    <w:p w:rsidR="001C5460" w:rsidRPr="00610100" w:rsidRDefault="001C5460" w:rsidP="001C5460">
      <w:pPr>
        <w:numPr>
          <w:ilvl w:val="0"/>
          <w:numId w:val="1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Την προφορική συνέντευξη. </w:t>
      </w:r>
    </w:p>
    <w:p w:rsidR="001C5460" w:rsidRPr="00610100" w:rsidRDefault="001C5460" w:rsidP="001C5460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1C5460" w:rsidRPr="00610100" w:rsidRDefault="001C5460" w:rsidP="001C5460">
      <w:pPr>
        <w:spacing w:after="0" w:line="240" w:lineRule="auto"/>
        <w:ind w:right="-199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Οι φοιτητές από ιδρύματα της αλλοδαπής πρέπει να προσκομίσουν πιστοποιητικό αντιστοιχίας και ισοτιμίας από τον ΔΟΑΤΑΠ, σύμφωνα με το αρ.34, παρ.7 του Ν. 4485/17.</w:t>
      </w:r>
    </w:p>
    <w:p w:rsidR="001C5460" w:rsidRPr="00610100" w:rsidRDefault="001C5460" w:rsidP="001C5460">
      <w:pPr>
        <w:spacing w:after="0" w:line="240" w:lineRule="auto"/>
        <w:ind w:right="-199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Οι υποψήφιοι πρέπει να γνωρίζουν αποδεδειγμένα μία ξένη γλώσσα.</w:t>
      </w:r>
    </w:p>
    <w:p w:rsidR="001C5460" w:rsidRPr="00610100" w:rsidRDefault="001C5460" w:rsidP="001C5460">
      <w:pPr>
        <w:spacing w:after="0" w:line="240" w:lineRule="auto"/>
        <w:ind w:right="-199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Για την παρακολούθηση του Π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Μ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Σ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προβλέπεται η καταβολή συνολικού ποσού διδάκτρων 3.000ευρώ κατανεμημένο σε τέσσερις ισόποσες δόσεις των 750ευρώ, οι οποίες καταβάλλονται στην αρχή κάθε εξαμήνου.</w:t>
      </w:r>
    </w:p>
    <w:p w:rsidR="001C5460" w:rsidRPr="00610100" w:rsidRDefault="001C5460" w:rsidP="001C5460">
      <w:pPr>
        <w:spacing w:after="0" w:line="240" w:lineRule="auto"/>
        <w:ind w:right="-4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1C5460" w:rsidRPr="00610100" w:rsidRDefault="001C5460" w:rsidP="001C5460">
      <w:pPr>
        <w:spacing w:after="0" w:line="240" w:lineRule="auto"/>
        <w:jc w:val="both"/>
        <w:rPr>
          <w:rFonts w:ascii="Katsoulidis" w:eastAsiaTheme="minorEastAsia" w:hAnsi="Katsoulidis" w:cs="Courier New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Περισσότερες πληροφορίες για το Π.Μ.Σ. μπορείτε να βρείτε στην ιστοσελίδα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</w:t>
      </w:r>
      <w:hyperlink r:id="rId7" w:tgtFrame="_blank" w:history="1">
        <w:r w:rsidRPr="00610100">
          <w:rPr>
            <w:rFonts w:ascii="Katsoulidis" w:eastAsiaTheme="minorEastAsia" w:hAnsi="Katsoulidis" w:cs="Courier New"/>
            <w:color w:val="0000FF"/>
            <w:sz w:val="24"/>
            <w:szCs w:val="24"/>
            <w:u w:val="single"/>
            <w:lang w:eastAsia="el-GR"/>
          </w:rPr>
          <w:t>http://foodchemistrylab.chem.uoa.gr/</w:t>
        </w:r>
      </w:hyperlink>
    </w:p>
    <w:p w:rsidR="001C5460" w:rsidRPr="00610100" w:rsidRDefault="001C5460" w:rsidP="001C5460">
      <w:pPr>
        <w:spacing w:after="0" w:line="240" w:lineRule="auto"/>
        <w:ind w:right="-4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Αιτήσεις υποψηφιότητας</w:t>
      </w: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1C5460" w:rsidRDefault="001C5460" w:rsidP="001C5460">
      <w:pPr>
        <w:widowControl w:val="0"/>
        <w:jc w:val="both"/>
      </w:pPr>
      <w:r w:rsidRPr="00610100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Οι ενδιαφερόμενοι καλούνται να υποβάλουν από </w:t>
      </w:r>
      <w:r w:rsidR="006B354B">
        <w:rPr>
          <w:rFonts w:ascii="Katsoulidis" w:eastAsia="Times New Roman" w:hAnsi="Katsoulidis" w:cs="Times New Roman"/>
          <w:sz w:val="24"/>
          <w:szCs w:val="24"/>
          <w:lang w:eastAsia="el-GR"/>
        </w:rPr>
        <w:t>τη</w:t>
      </w:r>
      <w:r w:rsidR="00134A99">
        <w:rPr>
          <w:rFonts w:ascii="Katsoulidis" w:eastAsia="Times New Roman" w:hAnsi="Katsoulidis" w:cs="Times New Roman"/>
          <w:sz w:val="24"/>
          <w:szCs w:val="24"/>
          <w:lang w:eastAsia="el-GR"/>
        </w:rPr>
        <w:t>ν</w:t>
      </w:r>
      <w:r w:rsidR="006B354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F12ADF" w:rsidRPr="00F12ADF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Τρίτη 14</w:t>
      </w:r>
      <w:r w:rsidR="00F12ADF" w:rsidRPr="00F12ADF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 </w:t>
      </w:r>
      <w:r w:rsidRPr="00F12ADF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Ιουνίου </w:t>
      </w:r>
      <w:r w:rsidR="00F12ADF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2022 </w:t>
      </w:r>
      <w:r w:rsidRPr="00F12ADF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μέχρι</w:t>
      </w:r>
      <w:r w:rsidRPr="00334357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και την </w:t>
      </w:r>
      <w:r w:rsidR="000724FE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Παρασκευή 1</w:t>
      </w:r>
      <w:r w:rsidR="009A767C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6</w:t>
      </w:r>
      <w:r w:rsidR="000724FE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Σεπτεμβρίου 202</w:t>
      </w:r>
      <w:r w:rsidR="009A767C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2</w:t>
      </w:r>
      <w:r w:rsidRPr="00610100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ηλεκτρονικά</w:t>
      </w:r>
      <w:r w:rsidRPr="00610100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στη Γραμματεία του Τμήματος Χημείας</w:t>
      </w:r>
      <w:r w:rsidR="006B354B" w:rsidRPr="006B354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9A767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μέσω του </w:t>
      </w:r>
      <w:hyperlink r:id="rId8" w:history="1">
        <w:r w:rsidR="00D05040" w:rsidRPr="002711DB">
          <w:rPr>
            <w:rStyle w:val="-"/>
            <w:rFonts w:ascii="Katsoulidis" w:hAnsi="Katsoulidis"/>
          </w:rPr>
          <w:t>https://eprotocol.uoa.gr</w:t>
        </w:r>
      </w:hyperlink>
      <w:r w:rsidR="00D05040">
        <w:rPr>
          <w:rFonts w:ascii="Katsoulidis" w:hAnsi="Katsoulidis"/>
        </w:rPr>
        <w:t xml:space="preserve"> </w:t>
      </w:r>
      <w:r w:rsidR="00151565">
        <w:rPr>
          <w:rFonts w:ascii="Katsoulidis" w:eastAsia="Times New Roman" w:hAnsi="Katsoulidis" w:cs="Times New Roman"/>
          <w:sz w:val="24"/>
          <w:szCs w:val="24"/>
          <w:lang w:eastAsia="el-GR"/>
        </w:rPr>
        <w:t>τα ακόλουθα δικαιολογητικά</w:t>
      </w:r>
      <w:r w:rsidR="00151565">
        <w:rPr>
          <w:rFonts w:ascii="Katsoulidis" w:hAnsi="Katsoulidis"/>
        </w:rPr>
        <w:t xml:space="preserve"> </w:t>
      </w:r>
      <w:r w:rsidR="00D05040">
        <w:rPr>
          <w:rFonts w:ascii="Katsoulidis" w:hAnsi="Katsoulidis"/>
        </w:rPr>
        <w:t xml:space="preserve">επιλέγοντας: </w:t>
      </w:r>
      <w:r w:rsidR="00D05040" w:rsidRPr="00D05040">
        <w:rPr>
          <w:rFonts w:ascii="Katsoulidis" w:hAnsi="Katsoulidis"/>
          <w:b/>
        </w:rPr>
        <w:t>Αίτηση Υποψηφιότητας σε Μεταπτυχιακό Πρόγραμμα Σπουδών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. </w:t>
      </w:r>
      <w:r>
        <w:rPr>
          <w:rFonts w:ascii="Katsoulidis" w:hAnsi="Katsoulidis"/>
          <w:b/>
        </w:rPr>
        <w:t>Αιτήσεις που θα υποβληθούν με οποιονδήποτε άλλον τρόπο δεν θα γίνονται δεκτές.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Αίτηση 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>συμμετοχής</w:t>
      </w:r>
      <w:r w:rsidR="00DE2AD2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(εκτυπώνεται από την ιστοσελίδα του Τμήματος)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Βιογραφικό σημείωμα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Αντίγραφο πτυχίου ή βεβαίωση περάτωσης σπουδών 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Πιστοποιητικό Αναλυτικής Βαθμολογίας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Δημοσιεύσεις σε περιοδικά με κριτές, εάν υπάρχουν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Αποδεικτικά επαγγελματικής ή ερευνητικής δραστηριότητας, εάν υπάρχουν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Φωτοτυπία αστυνομικής ταυτότητας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Δύο συστατικές επιστολές</w:t>
      </w:r>
      <w:r w:rsidR="00A84191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(Σ</w:t>
      </w:r>
      <w:r w:rsidR="00A84191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ε περίπτωση που δεν συμπεριληφθούν στην αίτηση υποψηφιότητας θα αποσταλούν στο </w:t>
      </w:r>
      <w:proofErr w:type="spellStart"/>
      <w:r w:rsidR="00A84191">
        <w:rPr>
          <w:rFonts w:ascii="Katsoulidis" w:eastAsiaTheme="minorEastAsia" w:hAnsi="Katsoulidis" w:cs="Katsoulidis"/>
          <w:sz w:val="24"/>
          <w:szCs w:val="24"/>
          <w:lang w:val="en-US" w:eastAsia="el-GR"/>
        </w:rPr>
        <w:t>harpro</w:t>
      </w:r>
      <w:proofErr w:type="spellEnd"/>
      <w:r w:rsidR="00A84191"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@</w:t>
      </w:r>
      <w:proofErr w:type="spellStart"/>
      <w:r w:rsidR="00A84191">
        <w:rPr>
          <w:rFonts w:ascii="Katsoulidis" w:eastAsiaTheme="minorEastAsia" w:hAnsi="Katsoulidis" w:cs="Katsoulidis"/>
          <w:sz w:val="24"/>
          <w:szCs w:val="24"/>
          <w:lang w:val="en-US" w:eastAsia="el-GR"/>
        </w:rPr>
        <w:t>chem</w:t>
      </w:r>
      <w:proofErr w:type="spellEnd"/>
      <w:r w:rsidR="00A84191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proofErr w:type="spellStart"/>
      <w:r w:rsidR="00A84191">
        <w:rPr>
          <w:rFonts w:ascii="Katsoulidis" w:eastAsiaTheme="minorEastAsia" w:hAnsi="Katsoulidis" w:cs="Katsoulidis"/>
          <w:sz w:val="24"/>
          <w:szCs w:val="24"/>
          <w:lang w:val="en-US" w:eastAsia="el-GR"/>
        </w:rPr>
        <w:t>uoa</w:t>
      </w:r>
      <w:proofErr w:type="spellEnd"/>
      <w:r w:rsidR="00A84191"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="00A84191">
        <w:rPr>
          <w:rFonts w:ascii="Katsoulidis" w:eastAsiaTheme="minorEastAsia" w:hAnsi="Katsoulidis" w:cs="Katsoulidis"/>
          <w:sz w:val="24"/>
          <w:szCs w:val="24"/>
          <w:lang w:val="en-US" w:eastAsia="el-GR"/>
        </w:rPr>
        <w:t>gr</w:t>
      </w:r>
      <w:r w:rsidR="00A84191">
        <w:rPr>
          <w:rFonts w:ascii="Katsoulidis" w:eastAsiaTheme="minorEastAsia" w:hAnsi="Katsoulidis" w:cs="Katsoulidis"/>
          <w:sz w:val="24"/>
          <w:szCs w:val="24"/>
          <w:lang w:eastAsia="el-GR"/>
        </w:rPr>
        <w:t>)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Πιστοποιητικό γλωσσομάθειας επιπέδου Β2, κατά προτίμηση της αγγλικής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Πιστοποιητικό αντιστοιχίας και ισοτιμίας από το ΔΟΑΤΑΠ για όσους προέρχονται από Πανεπιστήμια της αλλοδαπής σύμφωνα με το αρ.34, παρ.7 του Ν. 4485/17.</w:t>
      </w:r>
    </w:p>
    <w:p w:rsidR="001C5460" w:rsidRPr="00610100" w:rsidRDefault="001C5460" w:rsidP="001C5460">
      <w:pPr>
        <w:spacing w:after="0" w:line="240" w:lineRule="auto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1C5460" w:rsidRPr="00610100" w:rsidRDefault="001C5460" w:rsidP="001C5460">
      <w:pPr>
        <w:tabs>
          <w:tab w:val="left" w:pos="3660"/>
        </w:tabs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Ο Διευθυντής του Π.Μ.Σ.</w:t>
      </w: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*</w:t>
      </w:r>
      <w:bookmarkStart w:id="0" w:name="_GoBack"/>
      <w:bookmarkEnd w:id="0"/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</w:p>
    <w:p w:rsidR="001C5460" w:rsidRPr="0060734C" w:rsidRDefault="000724FE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sz w:val="28"/>
          <w:szCs w:val="28"/>
          <w:lang w:eastAsia="el-GR"/>
        </w:rPr>
      </w:pPr>
      <w:r>
        <w:rPr>
          <w:rFonts w:ascii="Katsoulidis" w:eastAsiaTheme="minorEastAsia" w:hAnsi="Katsoulidis" w:cs="Katsoulidis"/>
          <w:b/>
          <w:sz w:val="28"/>
          <w:szCs w:val="28"/>
          <w:lang w:eastAsia="el-GR"/>
        </w:rPr>
        <w:t>Χαράλαμπος Προεστός</w:t>
      </w:r>
    </w:p>
    <w:p w:rsidR="001C5460" w:rsidRPr="00610100" w:rsidRDefault="000724FE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r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Αναπλ.</w:t>
      </w:r>
      <w:r w:rsidR="001C5460"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Καθηγητής</w:t>
      </w: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</w:p>
    <w:p w:rsidR="001C5460" w:rsidRPr="00134A99" w:rsidRDefault="001C5460" w:rsidP="001C5460">
      <w:pPr>
        <w:spacing w:after="0" w:line="240" w:lineRule="auto"/>
        <w:rPr>
          <w:rFonts w:ascii="Katsoulidis" w:eastAsiaTheme="minorEastAsia" w:hAnsi="Katsoulidis" w:cs="Katsoulidis"/>
          <w:b/>
          <w:bCs/>
          <w:sz w:val="20"/>
          <w:szCs w:val="20"/>
          <w:lang w:eastAsia="el-GR"/>
        </w:rPr>
      </w:pPr>
      <w:r w:rsidRPr="00134A99">
        <w:rPr>
          <w:rFonts w:ascii="Katsoulidis" w:eastAsia="Times New Roman" w:hAnsi="Katsoulidis" w:cs="Times New Roman"/>
          <w:sz w:val="20"/>
          <w:szCs w:val="20"/>
          <w:vertAlign w:val="superscript"/>
          <w:lang w:eastAsia="el-GR"/>
        </w:rPr>
        <w:t>*</w:t>
      </w:r>
      <w:r w:rsidRPr="00134A99">
        <w:rPr>
          <w:rFonts w:ascii="Katsoulidis" w:eastAsia="Times New Roman" w:hAnsi="Katsoulidis" w:cs="Times New Roman"/>
          <w:i/>
          <w:sz w:val="20"/>
          <w:szCs w:val="20"/>
          <w:lang w:eastAsia="el-GR"/>
        </w:rPr>
        <w:t>Η υπογραφή τηρείται στο πρωτότυπο του αρχείου της Γραμματείας</w:t>
      </w:r>
    </w:p>
    <w:p w:rsidR="00861E08" w:rsidRDefault="00861E08"/>
    <w:sectPr w:rsidR="00861E08" w:rsidSect="000724FE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347DC"/>
    <w:multiLevelType w:val="singleLevel"/>
    <w:tmpl w:val="03680D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1">
    <w:nsid w:val="72B97213"/>
    <w:multiLevelType w:val="singleLevel"/>
    <w:tmpl w:val="03680D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60"/>
    <w:rsid w:val="000724FE"/>
    <w:rsid w:val="00134A99"/>
    <w:rsid w:val="00151565"/>
    <w:rsid w:val="001C5460"/>
    <w:rsid w:val="00281E52"/>
    <w:rsid w:val="00290308"/>
    <w:rsid w:val="006B354B"/>
    <w:rsid w:val="00861E08"/>
    <w:rsid w:val="00927E56"/>
    <w:rsid w:val="009A767C"/>
    <w:rsid w:val="00A068CE"/>
    <w:rsid w:val="00A84191"/>
    <w:rsid w:val="00D05040"/>
    <w:rsid w:val="00DC0D94"/>
    <w:rsid w:val="00DE2AD2"/>
    <w:rsid w:val="00F1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546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C0D9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C0D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546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C0D9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C0D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tocol.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oodchemistrylab.chem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14</cp:revision>
  <dcterms:created xsi:type="dcterms:W3CDTF">2022-04-14T07:41:00Z</dcterms:created>
  <dcterms:modified xsi:type="dcterms:W3CDTF">2022-05-24T08:15:00Z</dcterms:modified>
</cp:coreProperties>
</file>